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6DFA" w:rsidRPr="00A26DFA" w14:paraId="1AD93A00" w14:textId="77777777" w:rsidTr="00A26DFA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7590DFB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32A3C3B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6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25"/>
                        </w:tblGrid>
                        <w:tr w:rsidR="00A26DFA" w:rsidRPr="00A26DFA" w14:paraId="15CEFD29" w14:textId="77777777"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FF003CF" w14:textId="77777777" w:rsidR="00A26DFA" w:rsidRPr="00A26DFA" w:rsidRDefault="00A26DFA" w:rsidP="00A26DFA">
                              <w:pPr>
                                <w:spacing w:after="0" w:line="39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Explore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enhanced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Dosimetry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Workflow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Molecular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Radiotherapy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  <w:t>Treatments</w:t>
                              </w:r>
                              <w:proofErr w:type="spellEnd"/>
                            </w:p>
                          </w:tc>
                        </w:tr>
                        <w:tr w:rsidR="00A26DFA" w:rsidRPr="00A26DFA" w14:paraId="70906856" w14:textId="77777777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0D2C305" w14:textId="77777777" w:rsidR="00A26DFA" w:rsidRPr="00A26DFA" w:rsidRDefault="00A26DFA" w:rsidP="00A26DFA">
                              <w:pPr>
                                <w:spacing w:after="0" w:line="39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7272B"/>
                                  <w:sz w:val="33"/>
                                  <w:szCs w:val="33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6D3B5803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EFF9D0E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are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happily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looking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forward to chat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NuklearMedizin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2021 -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digital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Annual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Meeting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German Society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Nuclear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Medicine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, 14th-17th 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t>April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t xml:space="preserve"> 2021</w:t>
                              </w: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Book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 live demo session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our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experts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via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our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website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during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conference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anytime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before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after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!</w:t>
                              </w: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A26DFA" w:rsidRPr="00A26DFA" w14:paraId="2D66C852" w14:textId="77777777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8C00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5F391EFD" w14:textId="77777777" w:rsidR="00A26DFA" w:rsidRPr="00A26DFA" w:rsidRDefault="00A26DFA" w:rsidP="00A26D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4" w:tgtFrame="_blank" w:history="1">
                                      <w:r w:rsidRPr="00A26DFA">
                                        <w:rPr>
                                          <w:rFonts w:ascii="Helvetica" w:eastAsia="Times New Roman" w:hAnsi="Helvetica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lang w:eastAsia="cs-CZ"/>
                                        </w:rPr>
                                        <w:t>Visit www.quantitativedose.com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1FC7A8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27C86300" w14:textId="77777777">
                          <w:trPr>
                            <w:trHeight w:val="5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900C959" w14:textId="7E0D1423" w:rsid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5" w:history="1">
                                <w:r w:rsidRPr="0038710F">
                                  <w:rPr>
                                    <w:rStyle w:val="Hypertextovodkaz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cs-CZ"/>
                                  </w:rPr>
                                  <w:t>https://www.quantitat</w:t>
                                </w:r>
                                <w:r w:rsidRPr="0038710F">
                                  <w:rPr>
                                    <w:rStyle w:val="Hypertextovodkaz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cs-CZ"/>
                                  </w:rPr>
                                  <w:t>i</w:t>
                                </w:r>
                                <w:r w:rsidRPr="0038710F">
                                  <w:rPr>
                                    <w:rStyle w:val="Hypertextovodkaz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cs-CZ"/>
                                  </w:rPr>
                                  <w:t>vedose.com/</w:t>
                                </w:r>
                              </w:hyperlink>
                            </w:p>
                            <w:p w14:paraId="18AC5F15" w14:textId="6280F9EC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A26DFA" w:rsidRPr="00A26DFA" w14:paraId="5E97DB03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D8ABD95" w14:textId="77777777" w:rsidR="00A26DFA" w:rsidRPr="00A26DFA" w:rsidRDefault="00A26DFA" w:rsidP="00A26DFA">
                              <w:pPr>
                                <w:spacing w:after="0" w:line="33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Meet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us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NuklearMedizin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2021</w:t>
                              </w: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Meet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our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team and chat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QDOSE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experts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Industry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Exhibition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024F84"/>
                                  <w:sz w:val="21"/>
                                  <w:szCs w:val="21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2B9F2C9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F971965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4F60ADD8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2B61C18" w14:textId="32D9729D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AFA0B50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1E35FA6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DFA" w:rsidRPr="00A26DFA" w14:paraId="557B6A59" w14:textId="77777777" w:rsidTr="00A26DFA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7DC73C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0C978085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A92CB8C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821257"/>
                        <w:bookmarkEnd w:id="0"/>
                      </w:p>
                    </w:tc>
                  </w:tr>
                </w:tbl>
                <w:p w14:paraId="2B2A2CCF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7A5C4A8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A26DFA" w:rsidRPr="00A26DFA" w14:paraId="54BFC230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C05C769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Comprehensive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Safety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Efficacy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Dosimetry</w:t>
                              </w:r>
                            </w:p>
                          </w:tc>
                        </w:tr>
                        <w:tr w:rsidR="00A26DFA" w:rsidRPr="00A26DFA" w14:paraId="468E3DAC" w14:textId="77777777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B898A5F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1DC69BC7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9E0BD2F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Offering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range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workflows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including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parallel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analysis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planar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hybrid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volumetric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dosimetry as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well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as 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dedicated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advanced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SIRT dosimetry module.</w:t>
                              </w:r>
                            </w:p>
                          </w:tc>
                        </w:tr>
                        <w:tr w:rsidR="00A26DFA" w:rsidRPr="00A26DFA" w14:paraId="71F8415F" w14:textId="77777777">
                          <w:trPr>
                            <w:trHeight w:val="5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752E3C1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6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A26DFA" w:rsidRPr="00A26DFA" w14:paraId="3F02F414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BF0C6AE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F5A6832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1A54EA7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F68E08D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AABAC19" w14:textId="77777777" w:rsidR="00A26DFA" w:rsidRPr="00A26DFA" w:rsidRDefault="00A26DFA" w:rsidP="00A26D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1" w:name="292623"/>
      <w:bookmarkEnd w:id="1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6DFA" w:rsidRPr="00A26DFA" w14:paraId="322AF6D7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6939C1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4FBA6C5A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6F63E22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DDB95E8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3A4A611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7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A26DFA" w:rsidRPr="00A26DFA" w14:paraId="66015C85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2C12BDA0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D473966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A26DFA" w:rsidRPr="00A26DFA" w14:paraId="7D56FCA0" w14:textId="77777777">
                          <w:trPr>
                            <w:trHeight w:val="9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071EB27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A26DFA" w:rsidRPr="00A26DFA" w14:paraId="166CDF56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D266E94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All Dosimetry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Steps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in a single Software</w:t>
                              </w:r>
                            </w:p>
                          </w:tc>
                        </w:tr>
                        <w:tr w:rsidR="00A26DFA" w:rsidRPr="00A26DFA" w14:paraId="1F28FEBF" w14:textId="77777777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9C0A93A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5C64D62A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2C1B5B7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proofErr w:type="gram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2D</w:t>
                              </w:r>
                              <w:proofErr w:type="gram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3D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coregistration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ROI/VOI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drawing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segmentation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Curve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fitting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time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activity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curves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TACs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),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Calculation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cumulated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activity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Dose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calculation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Comparison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dose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estimates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different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workflows</w:t>
                              </w:r>
                              <w:proofErr w:type="spellEnd"/>
                            </w:p>
                          </w:tc>
                        </w:tr>
                        <w:tr w:rsidR="00A26DFA" w:rsidRPr="00A26DFA" w14:paraId="734D94FB" w14:textId="77777777">
                          <w:trPr>
                            <w:trHeight w:val="5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2378FB4E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259637D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27B8F6A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7B1FC5A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DFA" w:rsidRPr="00A26DFA" w14:paraId="637DA342" w14:textId="77777777" w:rsidTr="00A26DF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5D81481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5080A7CF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54C7065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2" w:name="577247"/>
                        <w:bookmarkEnd w:id="2"/>
                      </w:p>
                    </w:tc>
                  </w:tr>
                </w:tbl>
                <w:p w14:paraId="72B29739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3ED406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A26DFA" w:rsidRPr="00A26DFA" w14:paraId="33CB1DA2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8605C8B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IDAC-Dose 2.1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Phantom-based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Voxel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S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Calculation</w:t>
                              </w:r>
                              <w:proofErr w:type="spellEnd"/>
                            </w:p>
                          </w:tc>
                        </w:tr>
                        <w:tr w:rsidR="00A26DFA" w:rsidRPr="00A26DFA" w14:paraId="3B01EB96" w14:textId="77777777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23CA13A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4A226D25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3B7B833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Full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integration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ICRP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endorsed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IDAC-Dose 2.1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calculator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enables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realistic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phantom-based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dose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calculation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using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official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ICRP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Adult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Reference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Computational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Phantoms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(ICRP 110) </w:t>
                              </w: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t xml:space="preserve">and ICRP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Specific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Absorbed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Fractions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(ICRP 133)</w:t>
                              </w:r>
                            </w:p>
                          </w:tc>
                        </w:tr>
                        <w:tr w:rsidR="00A26DFA" w:rsidRPr="00A26DFA" w14:paraId="1E4D8171" w14:textId="77777777">
                          <w:trPr>
                            <w:trHeight w:val="5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25C1FE82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6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A26DFA" w:rsidRPr="00A26DFA" w14:paraId="20DC639E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E6B9914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1E66596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7059DBD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3B72119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5ECF962" w14:textId="77777777" w:rsidR="00A26DFA" w:rsidRPr="00A26DFA" w:rsidRDefault="00A26DFA" w:rsidP="00A26D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3" w:name="786967"/>
      <w:bookmarkEnd w:id="3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6DFA" w:rsidRPr="00A26DFA" w14:paraId="7719D15B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6FA2CA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51554D4D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F281FB5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083680D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78E4AD0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7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A26DFA" w:rsidRPr="00A26DFA" w14:paraId="74F007C8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C3B95D6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7678A14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A26DFA" w:rsidRPr="00A26DFA" w14:paraId="30729547" w14:textId="77777777">
                          <w:trPr>
                            <w:trHeight w:val="9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A28F603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4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</w:tblGrid>
                        <w:tr w:rsidR="00A26DFA" w:rsidRPr="00A26DFA" w14:paraId="3822ED57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6D58382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>Dedicated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  <w:t xml:space="preserve"> SIRT Module</w:t>
                              </w:r>
                            </w:p>
                          </w:tc>
                        </w:tr>
                        <w:tr w:rsidR="00A26DFA" w:rsidRPr="00A26DFA" w14:paraId="79E47B5C" w14:textId="77777777">
                          <w:trPr>
                            <w:trHeight w:val="7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2EF7F7A7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15202CED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D5D7361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Pre-treatment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dosimetry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using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99mTc-MAA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scan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planar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SPECT), Post-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treatment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dosimetry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90Y PET/CT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Bremsstrahlung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SPECT/CT,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Automatic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liver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segmentation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(AIT-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Liverator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)</w:t>
                              </w:r>
                            </w:p>
                          </w:tc>
                        </w:tr>
                        <w:tr w:rsidR="00A26DFA" w:rsidRPr="00A26DFA" w14:paraId="5286126C" w14:textId="77777777">
                          <w:trPr>
                            <w:trHeight w:val="5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E684E07" w14:textId="77777777" w:rsidR="00A26DFA" w:rsidRPr="00A26DFA" w:rsidRDefault="00A26DFA" w:rsidP="00A26DFA">
                              <w:pPr>
                                <w:spacing w:after="0" w:line="330" w:lineRule="atLeast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C7D95B1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7CF8809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32CC1F6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DFA" w:rsidRPr="00A26DFA" w14:paraId="16803C93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6B07D2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68DE93A4" w14:textId="77777777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4818BD7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4" w:name="113716"/>
                        <w:bookmarkEnd w:id="4"/>
                      </w:p>
                    </w:tc>
                  </w:tr>
                </w:tbl>
                <w:p w14:paraId="3DD2E0EE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0AB745A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26DFA" w:rsidRPr="00A26DFA" w14:paraId="09F467A1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E0BE8F2" w14:textId="77777777" w:rsidR="00A26DFA" w:rsidRPr="00A26DFA" w:rsidRDefault="00A26DFA" w:rsidP="00A26DFA">
                              <w:pPr>
                                <w:spacing w:after="0" w:line="42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</w:pP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  <w:t>Designed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  <w:t>developed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  <w:t xml:space="preserve"> by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33"/>
                                  <w:szCs w:val="33"/>
                                  <w:lang w:eastAsia="cs-CZ"/>
                                </w:rPr>
                                <w:t>Practitioners</w:t>
                              </w:r>
                              <w:proofErr w:type="spellEnd"/>
                            </w:p>
                          </w:tc>
                        </w:tr>
                      </w:tbl>
                      <w:p w14:paraId="00384B8E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3F8D571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4DA9F889" w14:textId="7777777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6C211EDD" w14:textId="77777777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CB085C0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1F36A6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A084B4" w14:textId="77777777" w:rsidR="00A26DFA" w:rsidRPr="00A26DFA" w:rsidRDefault="00A26DFA" w:rsidP="00A26D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5" w:name="584153"/>
      <w:bookmarkEnd w:id="5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6DFA" w:rsidRPr="00A26DFA" w14:paraId="460EC152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6A36589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7974161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26DFA" w:rsidRPr="00A26DFA" w14:paraId="7F5E7B04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90FDB29" w14:textId="77777777" w:rsidR="00A26DFA" w:rsidRPr="00A26DFA" w:rsidRDefault="00A26DFA" w:rsidP="00A26DFA">
                              <w:pPr>
                                <w:spacing w:after="0" w:line="33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QDOSE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designed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developed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in-house in Germany by ABX-CRO,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international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independent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owner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-led CRO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strong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focus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molecular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imaging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internal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radiotherapy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clinical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trials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. As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early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inventor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molecular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radiotherapy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clinical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studies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have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been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designing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innovative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solutions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helping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establish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MRT as a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widely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used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oncological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treatment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modality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>since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  <w:t xml:space="preserve"> 2002.</w:t>
                              </w: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27"/>
                              </w:tblGrid>
                              <w:tr w:rsidR="00A26DFA" w:rsidRPr="00A26DFA" w14:paraId="2A7D901E" w14:textId="77777777" w:rsidTr="00A26DFA">
                                <w:trPr>
                                  <w:trHeight w:val="55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8C00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bookmarkStart w:id="6" w:name="798974"/>
                                  <w:bookmarkEnd w:id="6"/>
                                  <w:p w14:paraId="305791B5" w14:textId="77777777" w:rsidR="00A26DFA" w:rsidRPr="00A26DFA" w:rsidRDefault="00A26DFA" w:rsidP="00A26D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A26DFA">
                                      <w:rPr>
                                        <w:rFonts w:ascii="Helvetica" w:eastAsia="Times New Roman" w:hAnsi="Helvetica" w:cs="Times New Roman"/>
                                        <w:color w:val="005A95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fldChar w:fldCharType="begin"/>
                                    </w:r>
                                    <w:r w:rsidRPr="00A26DFA">
                                      <w:rPr>
                                        <w:rFonts w:ascii="Helvetica" w:eastAsia="Times New Roman" w:hAnsi="Helvetica" w:cs="Times New Roman"/>
                                        <w:color w:val="005A95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instrText xml:space="preserve"> HYPERLINK "https://ea.newscpt20.de/_la.php?&amp;nid=4605650&amp;sid=529634525&amp;lid=20236280&amp;enc=687474703a2f2f7777772e6162782d63726f2e636f6d&amp;tg=" \t "_blank" </w:instrText>
                                    </w:r>
                                    <w:r w:rsidRPr="00A26DFA">
                                      <w:rPr>
                                        <w:rFonts w:ascii="Helvetica" w:eastAsia="Times New Roman" w:hAnsi="Helvetica" w:cs="Times New Roman"/>
                                        <w:color w:val="005A95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fldChar w:fldCharType="separate"/>
                                    </w:r>
                                    <w:r w:rsidRPr="00A26DFA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24"/>
                                        <w:szCs w:val="24"/>
                                        <w:u w:val="single"/>
                                        <w:lang w:eastAsia="cs-CZ"/>
                                      </w:rPr>
                                      <w:t>Visit www.abx-cro.com</w:t>
                                    </w:r>
                                    <w:r w:rsidRPr="00A26DFA">
                                      <w:rPr>
                                        <w:rFonts w:ascii="Helvetica" w:eastAsia="Times New Roman" w:hAnsi="Helvetica" w:cs="Times New Roman"/>
                                        <w:color w:val="005A95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2E0E8DB1" w14:textId="77777777" w:rsidR="00A26DFA" w:rsidRPr="00A26DFA" w:rsidRDefault="00A26DFA" w:rsidP="00A26DFA">
                              <w:pPr>
                                <w:spacing w:after="0" w:line="33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6A23FBD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58067CA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26DFA" w:rsidRPr="00A26DFA" w14:paraId="4A4EDAC2" w14:textId="77777777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1E57612" w14:textId="3D7D07EF" w:rsid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hyperlink r:id="rId6" w:history="1">
                          <w:r w:rsidRPr="0038710F">
                            <w:rPr>
                              <w:rStyle w:val="Hypertextovodkaz"/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cs-CZ"/>
                            </w:rPr>
                            <w:t>https://ww</w:t>
                          </w:r>
                          <w:r w:rsidRPr="0038710F">
                            <w:rPr>
                              <w:rStyle w:val="Hypertextovodkaz"/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cs-CZ"/>
                            </w:rPr>
                            <w:t>w</w:t>
                          </w:r>
                          <w:r w:rsidRPr="0038710F">
                            <w:rPr>
                              <w:rStyle w:val="Hypertextovodkaz"/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cs-CZ"/>
                            </w:rPr>
                            <w:t>.abx-cro.com/</w:t>
                          </w:r>
                        </w:hyperlink>
                      </w:p>
                      <w:p w14:paraId="5A1A9EE7" w14:textId="380E9135" w:rsidR="00A26DFA" w:rsidRPr="00A26DFA" w:rsidRDefault="00A26DFA" w:rsidP="00A26D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E2B3252" w14:textId="77777777" w:rsidR="00A26DFA" w:rsidRPr="00A26DFA" w:rsidRDefault="00A26DFA" w:rsidP="00A26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1F09847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DFA" w:rsidRPr="00A26DFA" w14:paraId="7CAE0384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14404A0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1B4559" w14:textId="77777777" w:rsidR="00A26DFA" w:rsidRPr="00A26DFA" w:rsidRDefault="00A26DFA" w:rsidP="00A26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7" w:name="273576"/>
                  <w:bookmarkEnd w:id="7"/>
                </w:p>
              </w:tc>
            </w:tr>
          </w:tbl>
          <w:p w14:paraId="01643766" w14:textId="77777777" w:rsidR="00A26DFA" w:rsidRPr="00A26DFA" w:rsidRDefault="00A26DFA" w:rsidP="00A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DFA" w:rsidRPr="00A26DFA" w14:paraId="3A88ECB8" w14:textId="77777777" w:rsidTr="00A26DF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6DFA" w:rsidRPr="00A26DFA" w14:paraId="0DEF1F9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6DFA" w:rsidRPr="00A26DFA" w14:paraId="0C7B4A1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26DFA" w:rsidRPr="00A26DFA" w14:paraId="6CA588B3" w14:textId="77777777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14:paraId="3AC9D963" w14:textId="77777777" w:rsidR="00A26DFA" w:rsidRPr="00A26DFA" w:rsidRDefault="00A26DFA" w:rsidP="00A26D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A26DFA" w:rsidRPr="00A26DFA" w14:paraId="0E79CDEA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14:paraId="257A1DC9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ABX-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CRO’s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quality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management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certified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according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to ISO 9001:2015 as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well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as ISO 13485:2016.</w:t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  <w:t xml:space="preserve">QDOSE®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conforms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European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Medical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Device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Directive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93/42/EEC and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CE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marked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as</w:t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Medical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Product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(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Class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IIa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)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clinical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use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inside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European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Union.</w:t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  <w:t xml:space="preserve">"QDOSE" and "IDAC-ALPHA" are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divisions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and/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trademarks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ABX-CRO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advanced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pharmaceutical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services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Forschungsgesellschaft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, a full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service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CRO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an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emphasis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frontline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developments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nuclear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medicine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.</w:t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  <w:t xml:space="preserve">ABX-CRO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advanced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pharmaceutical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services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Forschungsgesellschaft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mbH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Blasewitzer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Strasse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 xml:space="preserve"> 78-80 | 01307 </w:t>
                              </w:r>
                              <w:proofErr w:type="spellStart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Dresden</w:t>
                              </w:r>
                              <w:proofErr w:type="spellEnd"/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, Germany | </w:t>
                              </w:r>
                              <w:hyperlink r:id="rId7" w:history="1"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05A95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+49 351 214 44-0</w:t>
                                </w:r>
                              </w:hyperlink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hyperlink r:id="rId8" w:tgtFrame="_blank" w:history="1"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info@abx-cro.com</w:t>
                                </w:r>
                              </w:hyperlink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 | </w:t>
                              </w:r>
                              <w:hyperlink r:id="rId9" w:tgtFrame="_blank" w:history="1"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www.abx-cro.com</w:t>
                                </w:r>
                              </w:hyperlink>
                              <w:r w:rsidRPr="00A26DFA"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  <w:t> | </w:t>
                              </w:r>
                              <w:hyperlink r:id="rId10" w:tgtFrame="_blank" w:history="1"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www.quantitativedose.com</w:t>
                                </w:r>
                              </w:hyperlink>
                            </w:p>
                            <w:p w14:paraId="58D56B14" w14:textId="77777777" w:rsidR="00A26DFA" w:rsidRPr="00A26DFA" w:rsidRDefault="00A26DFA" w:rsidP="00A26DF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Helvetica" w:eastAsia="Times New Roman" w:hAnsi="Helvetica" w:cs="Segoe UI"/>
                                  <w:color w:val="A1A6A7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hyperlink r:id="rId11" w:tgtFrame="_blank" w:history="1">
                                <w:proofErr w:type="spellStart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Unsubscribe</w:t>
                                </w:r>
                                <w:proofErr w:type="spellEnd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from</w:t>
                                </w:r>
                                <w:proofErr w:type="spellEnd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this</w:t>
                                </w:r>
                                <w:proofErr w:type="spellEnd"/>
                                <w:r w:rsidRPr="00A26DFA">
                                  <w:rPr>
                                    <w:rFonts w:ascii="Helvetica" w:eastAsia="Times New Roman" w:hAnsi="Helvetica" w:cs="Segoe UI"/>
                                    <w:color w:val="024F84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 xml:space="preserve"> mailing list</w:t>
                                </w:r>
                              </w:hyperlink>
                            </w:p>
                          </w:tc>
                        </w:tr>
                        <w:tr w:rsidR="00A26DFA" w:rsidRPr="00A26DFA" w14:paraId="4D81674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71DD2FD8" w14:textId="77777777" w:rsidR="00A26DFA" w:rsidRPr="00A26DFA" w:rsidRDefault="00A26DFA" w:rsidP="00A26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8631721" w14:textId="77777777" w:rsidR="00A26DFA" w:rsidRPr="00A26DFA" w:rsidRDefault="00A26DFA" w:rsidP="00A26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0D747EC" w14:textId="77777777" w:rsidR="00A26DFA" w:rsidRPr="00A26DFA" w:rsidRDefault="00A26DFA" w:rsidP="00A26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99B012D" w14:textId="77777777" w:rsidR="00A26DFA" w:rsidRPr="00A26DFA" w:rsidRDefault="00A26DFA" w:rsidP="00A2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79C2E00" w14:textId="77777777" w:rsidR="00EB60C6" w:rsidRDefault="00A26DFA"/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FA"/>
    <w:rsid w:val="002B32A1"/>
    <w:rsid w:val="00A26DFA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EA28"/>
  <w15:chartTrackingRefBased/>
  <w15:docId w15:val="{75863D6B-2233-4018-B302-98C3EE0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A26DFA"/>
  </w:style>
  <w:style w:type="character" w:styleId="Hypertextovodkaz">
    <w:name w:val="Hyperlink"/>
    <w:basedOn w:val="Standardnpsmoodstavce"/>
    <w:uiPriority w:val="99"/>
    <w:unhideWhenUsed/>
    <w:rsid w:val="00A26D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6DF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26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x-cr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allto:+49%20351%20214%2044-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x-cro.com/" TargetMode="External"/><Relationship Id="rId11" Type="http://schemas.openxmlformats.org/officeDocument/2006/relationships/hyperlink" Target="https://ea.newscpt20.de/_u/26eb47729cee91a1b0039afdb5493fea.html" TargetMode="External"/><Relationship Id="rId5" Type="http://schemas.openxmlformats.org/officeDocument/2006/relationships/hyperlink" Target="https://www.quantitativedose.com/" TargetMode="External"/><Relationship Id="rId10" Type="http://schemas.openxmlformats.org/officeDocument/2006/relationships/hyperlink" Target="https://ea.newscpt20.de/_la.php?&amp;nid=4605650&amp;sid=529634525&amp;lid=20236285&amp;enc=687474703a2f2f7777772e7175616e7469746174697665646f73652e636f6d&amp;tg=" TargetMode="External"/><Relationship Id="rId4" Type="http://schemas.openxmlformats.org/officeDocument/2006/relationships/hyperlink" Target="https://ea.newscpt20.de/_la.php?&amp;nid=4605650&amp;sid=529634525&amp;lid=20236270&amp;enc=68747470733a2f2f7777772e7175616e7469746174697665646f73652e636f6d&amp;tg=" TargetMode="External"/><Relationship Id="rId9" Type="http://schemas.openxmlformats.org/officeDocument/2006/relationships/hyperlink" Target="https://ea.newscpt20.de/_la.php?&amp;nid=4605650&amp;sid=529634525&amp;lid=20236280&amp;enc=687474703a2f2f7777772e6162782d63726f2e636f6d&amp;tg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2021-04-13T09:04:00Z</dcterms:created>
  <dcterms:modified xsi:type="dcterms:W3CDTF">2021-04-13T09:08:00Z</dcterms:modified>
</cp:coreProperties>
</file>