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47A55" w:rsidRPr="00547A55" w14:paraId="3CA8BF33" w14:textId="77777777" w:rsidTr="00547A55">
        <w:tc>
          <w:tcPr>
            <w:tcW w:w="0" w:type="auto"/>
            <w:shd w:val="clear" w:color="auto" w:fill="FFFFFF"/>
            <w:hideMark/>
          </w:tcPr>
          <w:p w14:paraId="5202489E" w14:textId="77777777" w:rsidR="00547A55" w:rsidRPr="00547A55" w:rsidRDefault="00547A55" w:rsidP="00547A55">
            <w:pPr>
              <w:spacing w:before="100" w:beforeAutospacing="1" w:after="240" w:line="270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Building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success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four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past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editions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Digital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Utilities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Europe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looking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forward to hosting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our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5th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edition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hyperlink r:id="rId5" w:tgtFrame="_blank" w:history="1">
              <w:r w:rsidRPr="00547A55">
                <w:rPr>
                  <w:rFonts w:ascii="Arial" w:eastAsia="Times New Roman" w:hAnsi="Arial" w:cs="Arial"/>
                  <w:b/>
                  <w:bCs/>
                  <w:color w:val="2880BB"/>
                  <w:sz w:val="20"/>
                  <w:szCs w:val="20"/>
                  <w:u w:val="single"/>
                  <w:lang w:eastAsia="cs-CZ"/>
                </w:rPr>
                <w:t xml:space="preserve">Digital </w:t>
              </w:r>
              <w:proofErr w:type="spellStart"/>
              <w:r w:rsidRPr="00547A55">
                <w:rPr>
                  <w:rFonts w:ascii="Arial" w:eastAsia="Times New Roman" w:hAnsi="Arial" w:cs="Arial"/>
                  <w:b/>
                  <w:bCs/>
                  <w:color w:val="2880BB"/>
                  <w:sz w:val="20"/>
                  <w:szCs w:val="20"/>
                  <w:u w:val="single"/>
                  <w:lang w:eastAsia="cs-CZ"/>
                </w:rPr>
                <w:t>Util</w:t>
              </w:r>
              <w:r w:rsidRPr="00547A55">
                <w:rPr>
                  <w:rFonts w:ascii="Arial" w:eastAsia="Times New Roman" w:hAnsi="Arial" w:cs="Arial"/>
                  <w:b/>
                  <w:bCs/>
                  <w:color w:val="2880BB"/>
                  <w:sz w:val="20"/>
                  <w:szCs w:val="20"/>
                  <w:u w:val="single"/>
                  <w:lang w:eastAsia="cs-CZ"/>
                </w:rPr>
                <w:t>i</w:t>
              </w:r>
              <w:r w:rsidRPr="00547A55">
                <w:rPr>
                  <w:rFonts w:ascii="Arial" w:eastAsia="Times New Roman" w:hAnsi="Arial" w:cs="Arial"/>
                  <w:b/>
                  <w:bCs/>
                  <w:color w:val="2880BB"/>
                  <w:sz w:val="20"/>
                  <w:szCs w:val="20"/>
                  <w:u w:val="single"/>
                  <w:lang w:eastAsia="cs-CZ"/>
                </w:rPr>
                <w:t>ties</w:t>
              </w:r>
              <w:proofErr w:type="spellEnd"/>
              <w:r w:rsidRPr="00547A55">
                <w:rPr>
                  <w:rFonts w:ascii="Arial" w:eastAsia="Times New Roman" w:hAnsi="Arial" w:cs="Arial"/>
                  <w:b/>
                  <w:bCs/>
                  <w:color w:val="2880BB"/>
                  <w:sz w:val="20"/>
                  <w:szCs w:val="20"/>
                  <w:u w:val="single"/>
                  <w:lang w:eastAsia="cs-CZ"/>
                </w:rPr>
                <w:t xml:space="preserve"> </w:t>
              </w:r>
              <w:proofErr w:type="spellStart"/>
              <w:r w:rsidRPr="00547A55">
                <w:rPr>
                  <w:rFonts w:ascii="Arial" w:eastAsia="Times New Roman" w:hAnsi="Arial" w:cs="Arial"/>
                  <w:b/>
                  <w:bCs/>
                  <w:color w:val="2880BB"/>
                  <w:sz w:val="20"/>
                  <w:szCs w:val="20"/>
                  <w:u w:val="single"/>
                  <w:lang w:eastAsia="cs-CZ"/>
                </w:rPr>
                <w:t>Europe</w:t>
              </w:r>
              <w:proofErr w:type="spellEnd"/>
            </w:hyperlink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on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27th &amp; 28th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October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2021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in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Amsterdam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-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where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capped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senior level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decision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makers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will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meet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discuss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obstacles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that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industry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currently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faces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find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solutions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seize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opportunity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growth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expansion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benefit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from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live networking.</w:t>
            </w:r>
            <w:r w:rsidRPr="00547A5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cs-CZ"/>
              </w:rPr>
              <w:br/>
            </w:r>
            <w:r w:rsidRPr="00547A55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cs-CZ"/>
              </w:rPr>
              <w:br/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Book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your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early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bird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pass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conference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don't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miss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out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on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presentation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by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Mark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Ossel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 </w:t>
            </w:r>
            <w:proofErr w:type="spellStart"/>
            <w:r w:rsidRPr="00547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Board</w:t>
            </w:r>
            <w:proofErr w:type="spellEnd"/>
            <w:r w:rsidRPr="00547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Member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 </w:t>
            </w:r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0"/>
                <w:szCs w:val="20"/>
                <w:lang w:eastAsia="cs-CZ"/>
              </w:rPr>
              <w:t xml:space="preserve">OSGP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0"/>
                <w:szCs w:val="20"/>
                <w:lang w:eastAsia="cs-CZ"/>
              </w:rPr>
              <w:t>Alliance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0"/>
                <w:szCs w:val="20"/>
                <w:lang w:eastAsia="cs-CZ"/>
              </w:rPr>
              <w:t>.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In his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presentation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afternoon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Conference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entitled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Key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decision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every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DSO: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what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technology,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standards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architecture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select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to support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transition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into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future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?" Mark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will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give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answers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following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questions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How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 cope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technology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evolution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How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comply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EU CEP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requirements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DSO?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Can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you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maintain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SLA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decentralized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grid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Mark's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presentation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will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also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touch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upon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interoperability,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IoT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Smart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Grid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Smart City and on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what's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keeping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CEO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awake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" -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security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intrusion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network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devices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547A55" w:rsidRPr="00547A55" w14:paraId="54FD07DA" w14:textId="77777777" w:rsidTr="00547A55">
        <w:tc>
          <w:tcPr>
            <w:tcW w:w="0" w:type="auto"/>
            <w:shd w:val="clear" w:color="auto" w:fill="FFFFFF"/>
            <w:hideMark/>
          </w:tcPr>
          <w:p w14:paraId="30BBCD49" w14:textId="77777777" w:rsidR="00547A55" w:rsidRPr="00547A55" w:rsidRDefault="00547A55" w:rsidP="00547A55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bookmarkStart w:id="0" w:name="B1613667805221"/>
            <w:bookmarkEnd w:id="0"/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full list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speakers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topics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please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click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below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  <w:tbl>
            <w:tblPr>
              <w:tblW w:w="0" w:type="auto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200"/>
            </w:tblGrid>
            <w:tr w:rsidR="00547A55" w:rsidRPr="00547A55" w14:paraId="58260AFB" w14:textId="77777777">
              <w:trPr>
                <w:jc w:val="center"/>
              </w:trPr>
              <w:tc>
                <w:tcPr>
                  <w:tcW w:w="0" w:type="auto"/>
                  <w:shd w:val="clear" w:color="auto" w:fill="77A745"/>
                  <w:tcMar>
                    <w:top w:w="210" w:type="dxa"/>
                    <w:left w:w="240" w:type="dxa"/>
                    <w:bottom w:w="210" w:type="dxa"/>
                    <w:right w:w="240" w:type="dxa"/>
                  </w:tcMar>
                  <w:vAlign w:val="center"/>
                  <w:hideMark/>
                </w:tcPr>
                <w:p w14:paraId="2FBF477B" w14:textId="77777777" w:rsidR="00547A55" w:rsidRPr="00547A55" w:rsidRDefault="00547A55" w:rsidP="00547A5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</w:pPr>
                  <w:hyperlink r:id="rId6" w:tgtFrame="_blank" w:history="1"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 xml:space="preserve">&gt;&gt; </w:t>
                    </w:r>
                    <w:proofErr w:type="spellStart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>View</w:t>
                    </w:r>
                    <w:proofErr w:type="spellEnd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 xml:space="preserve"> </w:t>
                    </w:r>
                    <w:proofErr w:type="spellStart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>the</w:t>
                    </w:r>
                    <w:proofErr w:type="spellEnd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 xml:space="preserve"> Full Agenda &lt;&lt;</w:t>
                    </w:r>
                  </w:hyperlink>
                </w:p>
              </w:tc>
            </w:tr>
          </w:tbl>
          <w:p w14:paraId="46801C18" w14:textId="77777777" w:rsidR="00547A55" w:rsidRPr="00547A55" w:rsidRDefault="00547A55" w:rsidP="00547A55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color w:val="000000"/>
                <w:lang w:eastAsia="cs-CZ"/>
              </w:rPr>
              <w:t>or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lang w:eastAsia="cs-CZ"/>
              </w:rPr>
              <w:t xml:space="preserve"> to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lang w:eastAsia="cs-CZ"/>
              </w:rPr>
              <w:t>r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equest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agenda via email</w:t>
            </w:r>
            <w:r w:rsidRPr="00547A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lang w:eastAsia="cs-CZ"/>
              </w:rPr>
              <w:t>contact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hyperlink r:id="rId7" w:tgtFrame="_blank" w:history="1">
              <w:r w:rsidRPr="00547A55">
                <w:rPr>
                  <w:rFonts w:ascii="Arial" w:eastAsia="Times New Roman" w:hAnsi="Arial" w:cs="Arial"/>
                  <w:color w:val="2880BB"/>
                  <w:u w:val="single"/>
                  <w:lang w:eastAsia="cs-CZ"/>
                </w:rPr>
                <w:t xml:space="preserve">Dimitri </w:t>
              </w:r>
              <w:proofErr w:type="spellStart"/>
              <w:r w:rsidRPr="00547A55">
                <w:rPr>
                  <w:rFonts w:ascii="Arial" w:eastAsia="Times New Roman" w:hAnsi="Arial" w:cs="Arial"/>
                  <w:color w:val="2880BB"/>
                  <w:u w:val="single"/>
                  <w:lang w:eastAsia="cs-CZ"/>
                </w:rPr>
                <w:t>Pavlyk</w:t>
              </w:r>
              <w:proofErr w:type="spellEnd"/>
            </w:hyperlink>
            <w:r w:rsidRPr="00547A55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lang w:eastAsia="cs-CZ"/>
              </w:rPr>
              <w:t>or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lang w:eastAsia="cs-CZ"/>
              </w:rPr>
              <w:t xml:space="preserve"> tel. </w:t>
            </w:r>
            <w:hyperlink r:id="rId8" w:history="1">
              <w:r w:rsidRPr="00547A55">
                <w:rPr>
                  <w:rFonts w:ascii="Arial" w:eastAsia="Times New Roman" w:hAnsi="Arial" w:cs="Arial"/>
                  <w:color w:val="005A95"/>
                  <w:lang w:eastAsia="cs-CZ"/>
                </w:rPr>
                <w:t>+44 (0)203 141 0610</w:t>
              </w:r>
            </w:hyperlink>
            <w:r w:rsidRPr="00547A55">
              <w:rPr>
                <w:rFonts w:ascii="Arial" w:eastAsia="Times New Roman" w:hAnsi="Arial" w:cs="Arial"/>
                <w:b/>
                <w:bCs/>
                <w:color w:val="236FA1"/>
                <w:lang w:eastAsia="cs-CZ"/>
              </w:rPr>
              <w:br/>
            </w:r>
            <w:r w:rsidRPr="00547A55">
              <w:rPr>
                <w:rFonts w:ascii="Arial" w:eastAsia="Times New Roman" w:hAnsi="Arial" w:cs="Arial"/>
                <w:b/>
                <w:bCs/>
                <w:color w:val="236FA1"/>
                <w:lang w:eastAsia="cs-CZ"/>
              </w:rPr>
              <w:br/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Who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Will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Attend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?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event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designed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special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interest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CTOs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CIOs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CDOs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Heads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Digital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innovation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looking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develop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enhance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their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technological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solutions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Furthermore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attendees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include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transmission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generation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distribution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&amp;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supply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companies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TNOs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TSOs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&amp;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DNOs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DSOs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Key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Topics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Include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:</w:t>
            </w:r>
          </w:p>
          <w:p w14:paraId="3BC2A78D" w14:textId="77777777" w:rsidR="00547A55" w:rsidRPr="00547A55" w:rsidRDefault="00547A55" w:rsidP="00547A55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Enhancing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Improving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Customer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Experience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use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Digital Technologies</w:t>
            </w:r>
          </w:p>
          <w:p w14:paraId="35A2961A" w14:textId="77777777" w:rsidR="00547A55" w:rsidRPr="00547A55" w:rsidRDefault="00547A55" w:rsidP="00547A55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Overcoming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Challenge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Migrating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Data to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Cloud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its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Effectiveness</w:t>
            </w:r>
            <w:proofErr w:type="spellEnd"/>
          </w:p>
          <w:p w14:paraId="39654108" w14:textId="77777777" w:rsidR="00547A55" w:rsidRPr="00547A55" w:rsidRDefault="00547A55" w:rsidP="00547A55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EU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Regulations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Policy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towards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Digital Technology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Renewables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Industry</w:t>
            </w:r>
            <w:proofErr w:type="spellEnd"/>
          </w:p>
          <w:p w14:paraId="7C7CA4B9" w14:textId="77777777" w:rsidR="00547A55" w:rsidRPr="00547A55" w:rsidRDefault="00547A55" w:rsidP="00547A55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Protection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Data &amp;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Maintaining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Cyber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Security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During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Process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Digitalisation</w:t>
            </w:r>
            <w:proofErr w:type="spellEnd"/>
          </w:p>
          <w:p w14:paraId="54C83EB9" w14:textId="77777777" w:rsidR="00547A55" w:rsidRPr="00547A55" w:rsidRDefault="00547A55" w:rsidP="00547A55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Evaluating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Advantages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Dispelling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Myths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Installing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Smart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Meters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into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Households</w:t>
            </w:r>
            <w:proofErr w:type="spellEnd"/>
          </w:p>
          <w:p w14:paraId="211B203E" w14:textId="77777777" w:rsidR="00547A55" w:rsidRPr="00547A55" w:rsidRDefault="00547A55" w:rsidP="00547A55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Methods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Adapting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Decentralised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Networks</w:t>
            </w:r>
            <w:proofErr w:type="spellEnd"/>
          </w:p>
          <w:p w14:paraId="28B0A69E" w14:textId="77777777" w:rsidR="00547A55" w:rsidRPr="00547A55" w:rsidRDefault="00547A55" w:rsidP="00547A55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Collaboration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DSO’s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TSO’s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its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Benefits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Utilities</w:t>
            </w:r>
            <w:proofErr w:type="spellEnd"/>
          </w:p>
          <w:p w14:paraId="1BF4C8CD" w14:textId="77777777" w:rsidR="00547A55" w:rsidRPr="00547A55" w:rsidRDefault="00547A55" w:rsidP="00547A55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Evaluating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Effects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Electric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Vehicles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Utilities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Industry</w:t>
            </w:r>
            <w:proofErr w:type="spellEnd"/>
          </w:p>
          <w:p w14:paraId="18C82C4E" w14:textId="77777777" w:rsidR="00547A55" w:rsidRPr="00547A55" w:rsidRDefault="00547A55" w:rsidP="00547A55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Analysing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Development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Practicality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Residential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PV Systems and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Batteries</w:t>
            </w:r>
            <w:proofErr w:type="spellEnd"/>
          </w:p>
          <w:p w14:paraId="525858EB" w14:textId="77777777" w:rsidR="00547A55" w:rsidRPr="00547A55" w:rsidRDefault="00547A55" w:rsidP="00547A55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r w:rsidRPr="00547A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  <w:br/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6"/>
                <w:szCs w:val="26"/>
                <w:lang w:eastAsia="cs-CZ"/>
              </w:rPr>
              <w:t>Register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6"/>
                <w:szCs w:val="26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5A95"/>
                <w:sz w:val="26"/>
                <w:szCs w:val="26"/>
                <w:lang w:eastAsia="cs-CZ"/>
              </w:rPr>
              <w:t>Today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6"/>
                <w:szCs w:val="26"/>
                <w:lang w:eastAsia="cs-CZ"/>
              </w:rPr>
              <w:t xml:space="preserve"> &amp;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6"/>
                <w:szCs w:val="26"/>
                <w:lang w:eastAsia="cs-CZ"/>
              </w:rPr>
              <w:t>Save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6"/>
                <w:szCs w:val="26"/>
                <w:lang w:eastAsia="cs-CZ"/>
              </w:rPr>
              <w:t xml:space="preserve"> £270!</w:t>
            </w:r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0"/>
                <w:szCs w:val="20"/>
                <w:lang w:eastAsia="cs-CZ"/>
              </w:rPr>
              <w:br/>
            </w:r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0"/>
                <w:szCs w:val="20"/>
                <w:lang w:eastAsia="cs-CZ"/>
              </w:rPr>
              <w:br/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standard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delegate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rate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£1,695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which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includes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attendance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two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conference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speakers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'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presentations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lunches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networking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opportunities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as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well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as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documentation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from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event,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while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0"/>
                <w:szCs w:val="20"/>
                <w:lang w:eastAsia="cs-CZ"/>
              </w:rPr>
              <w:t xml:space="preserve">£270 early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0"/>
                <w:szCs w:val="20"/>
                <w:lang w:eastAsia="cs-CZ"/>
              </w:rPr>
              <w:t>bird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0"/>
                <w:szCs w:val="20"/>
                <w:lang w:eastAsia="cs-CZ"/>
              </w:rPr>
              <w:t>discount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0"/>
                <w:szCs w:val="20"/>
                <w:lang w:eastAsia="cs-CZ"/>
              </w:rPr>
              <w:t>expiring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0"/>
                <w:szCs w:val="20"/>
                <w:lang w:eastAsia="cs-CZ"/>
              </w:rPr>
              <w:t xml:space="preserve"> on 30th June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will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reduce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this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rate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to </w:t>
            </w:r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0"/>
                <w:szCs w:val="20"/>
                <w:lang w:eastAsia="cs-CZ"/>
              </w:rPr>
              <w:t xml:space="preserve">£1,425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E03E2D"/>
                <w:sz w:val="20"/>
                <w:szCs w:val="20"/>
                <w:lang w:eastAsia="cs-CZ"/>
              </w:rPr>
              <w:t>only</w:t>
            </w:r>
            <w:proofErr w:type="spellEnd"/>
            <w:r w:rsidRPr="00547A55">
              <w:rPr>
                <w:rFonts w:ascii="Arial" w:eastAsia="Times New Roman" w:hAnsi="Arial" w:cs="Arial"/>
                <w:color w:val="E03E2D"/>
                <w:sz w:val="20"/>
                <w:szCs w:val="20"/>
                <w:lang w:eastAsia="cs-CZ"/>
              </w:rPr>
              <w:t>.</w:t>
            </w:r>
            <w:r w:rsidRPr="00547A55">
              <w:rPr>
                <w:rFonts w:ascii="Arial" w:eastAsia="Times New Roman" w:hAnsi="Arial" w:cs="Arial"/>
                <w:color w:val="BA372A"/>
                <w:sz w:val="20"/>
                <w:szCs w:val="20"/>
                <w:lang w:eastAsia="cs-CZ"/>
              </w:rPr>
              <w:br/>
            </w:r>
            <w:r w:rsidRPr="00547A55">
              <w:rPr>
                <w:rFonts w:ascii="Arial" w:eastAsia="Times New Roman" w:hAnsi="Arial" w:cs="Arial"/>
                <w:color w:val="BA372A"/>
                <w:sz w:val="20"/>
                <w:szCs w:val="20"/>
                <w:lang w:eastAsia="cs-CZ"/>
              </w:rPr>
              <w:lastRenderedPageBreak/>
              <w:br/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debit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/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credit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card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registration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please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click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below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  <w:tbl>
            <w:tblPr>
              <w:tblW w:w="0" w:type="auto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561"/>
            </w:tblGrid>
            <w:tr w:rsidR="00547A55" w:rsidRPr="00547A55" w14:paraId="26D6493F" w14:textId="77777777">
              <w:trPr>
                <w:jc w:val="center"/>
              </w:trPr>
              <w:tc>
                <w:tcPr>
                  <w:tcW w:w="0" w:type="auto"/>
                  <w:shd w:val="clear" w:color="auto" w:fill="4589A7"/>
                  <w:tcMar>
                    <w:top w:w="210" w:type="dxa"/>
                    <w:left w:w="240" w:type="dxa"/>
                    <w:bottom w:w="210" w:type="dxa"/>
                    <w:right w:w="240" w:type="dxa"/>
                  </w:tcMar>
                  <w:vAlign w:val="center"/>
                  <w:hideMark/>
                </w:tcPr>
                <w:p w14:paraId="22580C22" w14:textId="77777777" w:rsidR="00547A55" w:rsidRPr="00547A55" w:rsidRDefault="00547A55" w:rsidP="00547A5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</w:pPr>
                  <w:hyperlink r:id="rId9" w:tgtFrame="_blank" w:history="1"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 xml:space="preserve">&gt;&gt; </w:t>
                    </w:r>
                    <w:proofErr w:type="spellStart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>Card</w:t>
                    </w:r>
                    <w:proofErr w:type="spellEnd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 xml:space="preserve"> </w:t>
                    </w:r>
                    <w:proofErr w:type="spellStart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>Registration</w:t>
                    </w:r>
                    <w:proofErr w:type="spellEnd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 xml:space="preserve"> Online &lt;&lt;</w:t>
                    </w:r>
                  </w:hyperlink>
                </w:p>
              </w:tc>
            </w:tr>
          </w:tbl>
          <w:p w14:paraId="05C4C803" w14:textId="77777777" w:rsidR="00547A55" w:rsidRPr="00547A55" w:rsidRDefault="00547A55" w:rsidP="00547A55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more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to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register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with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invoice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payable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within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five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working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days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please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contact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hyperlink r:id="rId10" w:tgtFrame="_blank" w:history="1">
              <w:r w:rsidRPr="00547A55">
                <w:rPr>
                  <w:rFonts w:ascii="Arial" w:eastAsia="Times New Roman" w:hAnsi="Arial" w:cs="Arial"/>
                  <w:b/>
                  <w:bCs/>
                  <w:color w:val="0011FF"/>
                  <w:sz w:val="20"/>
                  <w:szCs w:val="20"/>
                  <w:u w:val="single"/>
                  <w:lang w:eastAsia="cs-CZ"/>
                </w:rPr>
                <w:t xml:space="preserve">Dimitri </w:t>
              </w:r>
              <w:proofErr w:type="spellStart"/>
              <w:r w:rsidRPr="00547A55">
                <w:rPr>
                  <w:rFonts w:ascii="Arial" w:eastAsia="Times New Roman" w:hAnsi="Arial" w:cs="Arial"/>
                  <w:b/>
                  <w:bCs/>
                  <w:color w:val="0011FF"/>
                  <w:sz w:val="20"/>
                  <w:szCs w:val="20"/>
                  <w:u w:val="single"/>
                  <w:lang w:eastAsia="cs-CZ"/>
                </w:rPr>
                <w:t>Pavlyk</w:t>
              </w:r>
              <w:proofErr w:type="spellEnd"/>
            </w:hyperlink>
            <w:r w:rsidRPr="00547A55">
              <w:rPr>
                <w:rFonts w:ascii="Arial" w:eastAsia="Times New Roman" w:hAnsi="Arial" w:cs="Arial"/>
                <w:color w:val="0011FF"/>
                <w:sz w:val="20"/>
                <w:szCs w:val="20"/>
                <w:lang w:eastAsia="cs-CZ"/>
              </w:rPr>
              <w:t> 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on </w:t>
            </w:r>
            <w:hyperlink r:id="rId11" w:history="1">
              <w:r w:rsidRPr="00547A55">
                <w:rPr>
                  <w:rFonts w:ascii="Arial" w:eastAsia="Times New Roman" w:hAnsi="Arial" w:cs="Arial"/>
                  <w:color w:val="005A95"/>
                  <w:sz w:val="20"/>
                  <w:szCs w:val="20"/>
                  <w:lang w:eastAsia="cs-CZ"/>
                </w:rPr>
                <w:t>+44 203 141 0610</w:t>
              </w:r>
            </w:hyperlink>
          </w:p>
          <w:tbl>
            <w:tblPr>
              <w:tblW w:w="90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4500"/>
            </w:tblGrid>
            <w:tr w:rsidR="00547A55" w:rsidRPr="00547A55" w14:paraId="02E10A97" w14:textId="77777777">
              <w:trPr>
                <w:trHeight w:val="1185"/>
              </w:trPr>
              <w:tc>
                <w:tcPr>
                  <w:tcW w:w="4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9D18F" w14:textId="77777777" w:rsidR="00547A55" w:rsidRPr="00547A55" w:rsidRDefault="00547A55" w:rsidP="00547A55">
                  <w:pPr>
                    <w:spacing w:before="100" w:beforeAutospacing="1" w:after="100" w:afterAutospacing="1" w:line="270" w:lineRule="atLeast"/>
                    <w:jc w:val="center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6"/>
                      <w:szCs w:val="36"/>
                      <w:lang w:eastAsia="cs-CZ"/>
                    </w:rPr>
                  </w:pPr>
                  <w:r w:rsidRPr="00547A55">
                    <w:rPr>
                      <w:rFonts w:ascii="Arial" w:eastAsia="Times New Roman" w:hAnsi="Arial" w:cs="Arial"/>
                      <w:b/>
                      <w:bCs/>
                      <w:color w:val="236FA1"/>
                      <w:sz w:val="20"/>
                      <w:szCs w:val="20"/>
                      <w:lang w:eastAsia="cs-CZ"/>
                    </w:rPr>
                    <w:br/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b/>
                      <w:bCs/>
                      <w:color w:val="236FA1"/>
                      <w:lang w:eastAsia="cs-CZ"/>
                    </w:rPr>
                    <w:t>Speaking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b/>
                      <w:bCs/>
                      <w:color w:val="236FA1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b/>
                      <w:bCs/>
                      <w:color w:val="236FA1"/>
                      <w:lang w:eastAsia="cs-CZ"/>
                    </w:rPr>
                    <w:t>Opportunities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b/>
                      <w:bCs/>
                      <w:color w:val="236FA1"/>
                      <w:lang w:eastAsia="cs-CZ"/>
                    </w:rPr>
                    <w:t>:</w:t>
                  </w:r>
                </w:p>
                <w:p w14:paraId="6A295D2C" w14:textId="77777777" w:rsidR="00547A55" w:rsidRPr="00547A55" w:rsidRDefault="00547A55" w:rsidP="00547A55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If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would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like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to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be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considered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as a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speaker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for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event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with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 20-30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minute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presentation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please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submit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an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abstract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for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consideration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to </w:t>
                  </w:r>
                  <w:hyperlink r:id="rId12" w:tgtFrame="_blank" w:history="1"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0011FF"/>
                        <w:sz w:val="20"/>
                        <w:szCs w:val="20"/>
                        <w:u w:val="single"/>
                        <w:lang w:eastAsia="cs-CZ"/>
                      </w:rPr>
                      <w:t xml:space="preserve">Fatima </w:t>
                    </w:r>
                    <w:proofErr w:type="spellStart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0011FF"/>
                        <w:sz w:val="20"/>
                        <w:szCs w:val="20"/>
                        <w:u w:val="single"/>
                        <w:lang w:eastAsia="cs-CZ"/>
                      </w:rPr>
                      <w:t>Rasul</w:t>
                    </w:r>
                    <w:proofErr w:type="spellEnd"/>
                  </w:hyperlink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or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call</w:t>
                  </w:r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br/>
                  </w:r>
                  <w:hyperlink r:id="rId13" w:history="1">
                    <w:r w:rsidRPr="00547A55">
                      <w:rPr>
                        <w:rFonts w:ascii="Arial" w:eastAsia="Times New Roman" w:hAnsi="Arial" w:cs="Arial"/>
                        <w:color w:val="005A95"/>
                        <w:sz w:val="20"/>
                        <w:szCs w:val="20"/>
                        <w:lang w:eastAsia="cs-CZ"/>
                      </w:rPr>
                      <w:t>+44 (0) 20 3141 0611</w:t>
                    </w:r>
                  </w:hyperlink>
                </w:p>
                <w:p w14:paraId="4FE85559" w14:textId="77777777" w:rsidR="00547A55" w:rsidRPr="00547A55" w:rsidRDefault="00547A55" w:rsidP="00547A55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44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F148C" w14:textId="77777777" w:rsidR="00547A55" w:rsidRPr="00547A55" w:rsidRDefault="00547A55" w:rsidP="00547A55">
                  <w:pPr>
                    <w:spacing w:before="100" w:beforeAutospacing="1" w:after="100" w:afterAutospacing="1" w:line="270" w:lineRule="atLeast"/>
                    <w:jc w:val="center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sz w:val="36"/>
                      <w:szCs w:val="36"/>
                      <w:lang w:eastAsia="cs-CZ"/>
                    </w:rPr>
                  </w:pPr>
                  <w:proofErr w:type="spellStart"/>
                  <w:r w:rsidRPr="00547A55">
                    <w:rPr>
                      <w:rFonts w:ascii="Arial" w:eastAsia="Times New Roman" w:hAnsi="Arial" w:cs="Arial"/>
                      <w:b/>
                      <w:bCs/>
                      <w:color w:val="236FA1"/>
                      <w:lang w:eastAsia="cs-CZ"/>
                    </w:rPr>
                    <w:t>Commercial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b/>
                      <w:bCs/>
                      <w:color w:val="236FA1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b/>
                      <w:bCs/>
                      <w:color w:val="236FA1"/>
                      <w:lang w:eastAsia="cs-CZ"/>
                    </w:rPr>
                    <w:t>Opportunities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b/>
                      <w:bCs/>
                      <w:color w:val="236FA1"/>
                      <w:lang w:eastAsia="cs-CZ"/>
                    </w:rPr>
                    <w:t>:</w:t>
                  </w:r>
                </w:p>
                <w:p w14:paraId="0663F0D7" w14:textId="77777777" w:rsidR="00547A55" w:rsidRPr="00547A55" w:rsidRDefault="00547A55" w:rsidP="00547A55">
                  <w:pPr>
                    <w:spacing w:before="100" w:beforeAutospacing="1" w:after="100" w:afterAutospacing="1" w:line="270" w:lineRule="atLeast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Showcase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your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technologies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to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demonstrate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capabilities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your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latest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products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services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.</w:t>
                  </w:r>
                </w:p>
                <w:p w14:paraId="431B2180" w14:textId="77777777" w:rsidR="00547A55" w:rsidRPr="00547A55" w:rsidRDefault="00547A55" w:rsidP="00547A55">
                  <w:pPr>
                    <w:spacing w:after="240" w:line="270" w:lineRule="atLeast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</w:pP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For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more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information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please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contact</w:t>
                  </w:r>
                  <w:proofErr w:type="spellEnd"/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hyperlink r:id="rId14" w:tgtFrame="_blank" w:history="1"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0011FF"/>
                        <w:sz w:val="20"/>
                        <w:szCs w:val="20"/>
                        <w:u w:val="single"/>
                        <w:lang w:eastAsia="cs-CZ"/>
                      </w:rPr>
                      <w:t xml:space="preserve">Sam </w:t>
                    </w:r>
                    <w:proofErr w:type="spellStart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0011FF"/>
                        <w:sz w:val="20"/>
                        <w:szCs w:val="20"/>
                        <w:u w:val="single"/>
                        <w:lang w:eastAsia="cs-CZ"/>
                      </w:rPr>
                      <w:t>Cormack</w:t>
                    </w:r>
                    <w:proofErr w:type="spellEnd"/>
                  </w:hyperlink>
                  <w:r w:rsidRPr="00547A5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 on </w:t>
                  </w:r>
                  <w:hyperlink r:id="rId15" w:history="1">
                    <w:r w:rsidRPr="00547A55">
                      <w:rPr>
                        <w:rFonts w:ascii="Arial" w:eastAsia="Times New Roman" w:hAnsi="Arial" w:cs="Arial"/>
                        <w:color w:val="005A95"/>
                        <w:sz w:val="20"/>
                        <w:szCs w:val="20"/>
                        <w:lang w:eastAsia="cs-CZ"/>
                      </w:rPr>
                      <w:t>+44 (0) 20 3141 0609</w:t>
                    </w:r>
                  </w:hyperlink>
                </w:p>
              </w:tc>
            </w:tr>
          </w:tbl>
          <w:p w14:paraId="0E5FE33A" w14:textId="77777777" w:rsidR="00547A55" w:rsidRPr="00547A55" w:rsidRDefault="00547A55" w:rsidP="00547A55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r w:rsidRPr="00547A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  <w:t> </w:t>
            </w:r>
          </w:p>
          <w:p w14:paraId="0F9CED89" w14:textId="77777777" w:rsidR="00547A55" w:rsidRPr="00547A55" w:rsidRDefault="00547A55" w:rsidP="00547A5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r w:rsidRPr="00547A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  <w:pict w14:anchorId="162CDC0B">
                <v:rect id="_x0000_i1025" style="width:0;height:1.5pt" o:hralign="center" o:hrstd="t" o:hr="t" fillcolor="#a0a0a0" stroked="f"/>
              </w:pict>
            </w:r>
          </w:p>
          <w:p w14:paraId="12515380" w14:textId="77777777" w:rsidR="00547A55" w:rsidRPr="00547A55" w:rsidRDefault="00547A55" w:rsidP="00547A55">
            <w:pPr>
              <w:spacing w:before="100" w:beforeAutospacing="1" w:after="100" w:afterAutospacing="1" w:line="270" w:lineRule="atLeast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r w:rsidRPr="00547A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47A55" w:rsidRPr="00547A55" w14:paraId="29C5303C" w14:textId="77777777" w:rsidTr="00547A55">
        <w:tc>
          <w:tcPr>
            <w:tcW w:w="0" w:type="auto"/>
            <w:shd w:val="clear" w:color="auto" w:fill="FFFFFF"/>
            <w:hideMark/>
          </w:tcPr>
          <w:p w14:paraId="0A231270" w14:textId="77777777" w:rsidR="00547A55" w:rsidRPr="00547A55" w:rsidRDefault="00547A55" w:rsidP="00547A5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eastAsia="cs-CZ"/>
              </w:rPr>
            </w:pPr>
            <w:bookmarkStart w:id="1" w:name="B1600355621011"/>
            <w:bookmarkEnd w:id="1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lastRenderedPageBreak/>
              <w:t xml:space="preserve">Past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Attendees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Include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 xml:space="preserve"> Senior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Representatives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from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236FA1"/>
                <w:sz w:val="26"/>
                <w:szCs w:val="26"/>
                <w:lang w:eastAsia="cs-CZ"/>
              </w:rPr>
              <w:t>:</w:t>
            </w:r>
          </w:p>
          <w:p w14:paraId="7E86F6CD" w14:textId="77777777" w:rsidR="00547A55" w:rsidRPr="00547A55" w:rsidRDefault="00547A55" w:rsidP="00547A55">
            <w:pPr>
              <w:spacing w:before="100" w:beforeAutospacing="1" w:after="240" w:line="270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Alperia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SpA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Axians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Vattenfall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BAS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Kundenservice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GmbH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&amp; Co. KG *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E.ON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Smart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GB *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TTP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Plc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ESMIG *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nexis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Holding N.V. 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* EDP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Distribuição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Gas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Natural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Fenosa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Ofgem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EnBW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Fortum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Tingcore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Alliander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TenneT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TSO *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Eneco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Smart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Vesta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Partners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Europe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EnelX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Networked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Corporation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/ OSGP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Alliance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Open Utility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Pöyry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Management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Consulting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AS "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Augstsprieguma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Tīkls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"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* DNV GL *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BayWa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R.e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Renewable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GmbH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Regiocom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GmbH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Smartmove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GmbH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* SOCOMEC *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ABB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Power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Grids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Division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S.C.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Entrex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S.R.L. *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Shell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Energy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Europe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Ltd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* DSR *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Zouk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Capital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LLP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SET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Ventures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Hellenic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Petroleum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Cyprus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Ltd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Deloitte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Tohmatsu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Consulting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NKM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Nemzeti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Közművek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Zrt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BaxEnergy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Regalgrid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Europe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Srl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*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Lemonbeat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GmbH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UMS Group 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Europe</w:t>
            </w:r>
            <w:proofErr w:type="spellEnd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B.V.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FTI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Consulting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proofErr w:type="spellStart"/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Eandis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WIKA *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Centrica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* </w:t>
            </w:r>
            <w:r w:rsidRPr="00547A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ENGIE</w:t>
            </w:r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 *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Eni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Gas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Luce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S.p.a</w:t>
            </w:r>
            <w:proofErr w:type="spellEnd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and many </w:t>
            </w:r>
            <w:proofErr w:type="gramStart"/>
            <w:r w:rsidRPr="00547A5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more..</w:t>
            </w:r>
            <w:proofErr w:type="gramEnd"/>
          </w:p>
          <w:tbl>
            <w:tblPr>
              <w:tblW w:w="0" w:type="auto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227"/>
            </w:tblGrid>
            <w:tr w:rsidR="00547A55" w:rsidRPr="00547A55" w14:paraId="7A589A56" w14:textId="77777777">
              <w:trPr>
                <w:jc w:val="center"/>
              </w:trPr>
              <w:tc>
                <w:tcPr>
                  <w:tcW w:w="0" w:type="auto"/>
                  <w:shd w:val="clear" w:color="auto" w:fill="77A745"/>
                  <w:tcMar>
                    <w:top w:w="210" w:type="dxa"/>
                    <w:left w:w="240" w:type="dxa"/>
                    <w:bottom w:w="210" w:type="dxa"/>
                    <w:right w:w="240" w:type="dxa"/>
                  </w:tcMar>
                  <w:vAlign w:val="center"/>
                  <w:hideMark/>
                </w:tcPr>
                <w:p w14:paraId="1AB70572" w14:textId="77777777" w:rsidR="00547A55" w:rsidRPr="00547A55" w:rsidRDefault="00547A55" w:rsidP="00547A55">
                  <w:pPr>
                    <w:spacing w:after="0" w:line="240" w:lineRule="auto"/>
                    <w:jc w:val="center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cs-CZ"/>
                    </w:rPr>
                  </w:pPr>
                  <w:hyperlink r:id="rId16" w:tgtFrame="_blank" w:history="1"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 xml:space="preserve">&gt;&gt; </w:t>
                    </w:r>
                    <w:proofErr w:type="spellStart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>Request</w:t>
                    </w:r>
                    <w:proofErr w:type="spellEnd"/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 xml:space="preserve"> Agenda S</w:t>
                    </w:r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>e</w:t>
                    </w:r>
                    <w:r w:rsidRPr="00547A55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1"/>
                        <w:szCs w:val="21"/>
                        <w:lang w:eastAsia="cs-CZ"/>
                      </w:rPr>
                      <w:t>nt via Email &lt;&lt;</w:t>
                    </w:r>
                  </w:hyperlink>
                </w:p>
              </w:tc>
            </w:tr>
          </w:tbl>
          <w:p w14:paraId="3425D0BA" w14:textId="77777777" w:rsidR="00547A55" w:rsidRPr="00547A55" w:rsidRDefault="00547A55" w:rsidP="00547A55">
            <w:pPr>
              <w:spacing w:before="100" w:beforeAutospacing="1" w:after="100" w:afterAutospacing="1" w:line="270" w:lineRule="atLeast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</w:pPr>
            <w:r w:rsidRPr="00547A5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2617BF9C" w14:textId="77777777" w:rsidR="00EB60C6" w:rsidRDefault="00547A55"/>
    <w:sectPr w:rsidR="00EB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7179F"/>
    <w:multiLevelType w:val="multilevel"/>
    <w:tmpl w:val="B01A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55"/>
    <w:rsid w:val="002B32A1"/>
    <w:rsid w:val="00547A55"/>
    <w:rsid w:val="00A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6A8F"/>
  <w15:chartTrackingRefBased/>
  <w15:docId w15:val="{CD41AF6E-3D0D-473F-B4EA-2B528D85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47A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47A5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7A55"/>
    <w:rPr>
      <w:b/>
      <w:bCs/>
    </w:rPr>
  </w:style>
  <w:style w:type="character" w:customStyle="1" w:styleId="object">
    <w:name w:val="object"/>
    <w:basedOn w:val="Standardnpsmoodstavce"/>
    <w:rsid w:val="00547A55"/>
  </w:style>
  <w:style w:type="character" w:styleId="Hypertextovodkaz">
    <w:name w:val="Hyperlink"/>
    <w:basedOn w:val="Standardnpsmoodstavce"/>
    <w:uiPriority w:val="99"/>
    <w:semiHidden/>
    <w:unhideWhenUsed/>
    <w:rsid w:val="00547A55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47A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44%20(0)203%20141%200610" TargetMode="External"/><Relationship Id="rId13" Type="http://schemas.openxmlformats.org/officeDocument/2006/relationships/hyperlink" Target="callto:+44%20(0)%2020%203141%2006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avlyk@acieu.net?subject=EDUe5%2C%20Agenda%20Request%20MKT" TargetMode="External"/><Relationship Id="rId12" Type="http://schemas.openxmlformats.org/officeDocument/2006/relationships/hyperlink" Target="mailto:production@acieu.co.uk?subject=EDUe5-Speaking-Opportuniti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pavlyk@acieu.net?subject=EDUe5%2C%20Agenda%20Reque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rketing.acieu.net/acton/ct/6204/s-0c4e-2106/Bct/l-06f8/l-06f8:1f4e2/ct2_0/1/lu?sid=TV2%3AIgyCkbKOZ" TargetMode="External"/><Relationship Id="rId11" Type="http://schemas.openxmlformats.org/officeDocument/2006/relationships/hyperlink" Target="callto:+44%20203%20141%200610" TargetMode="External"/><Relationship Id="rId5" Type="http://schemas.openxmlformats.org/officeDocument/2006/relationships/hyperlink" Target="https://marketing.acieu.net/acton/ct/6204/s-0c4e-2106/Bct/l-06f8/l-06f8:1f4e2/ct1_0/1/lu?sid=TV2%3AIgyCkbKOZ" TargetMode="External"/><Relationship Id="rId15" Type="http://schemas.openxmlformats.org/officeDocument/2006/relationships/hyperlink" Target="callto:+44%20(0)%2020%203141%200609" TargetMode="External"/><Relationship Id="rId10" Type="http://schemas.openxmlformats.org/officeDocument/2006/relationships/hyperlink" Target="mailto:dpavlyk@acieu.net?subject=EDUe5%20Info%20&amp;%20Invoice%20Registration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ing.acieu.net/acton/ct/6204/s-0c4e-2106/Bct/l-06f8/l-06f8:1f4e2/ct1_1/1/lu?sid=TV2%3AIgyCkbKOZ" TargetMode="External"/><Relationship Id="rId14" Type="http://schemas.openxmlformats.org/officeDocument/2006/relationships/hyperlink" Target="mailto:sponsorship@acieu.co.uk?subject=EDUe5-Commercial-Opportunitie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774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Petýrková Janečková Lenka Ing.</dc:creator>
  <cp:keywords/>
  <dc:description/>
  <cp:lastModifiedBy>Petýrková Janečková Lenka Ing.</cp:lastModifiedBy>
  <cp:revision>1</cp:revision>
  <dcterms:created xsi:type="dcterms:W3CDTF">2021-06-18T11:14:00Z</dcterms:created>
  <dcterms:modified xsi:type="dcterms:W3CDTF">2021-06-18T11:16:00Z</dcterms:modified>
</cp:coreProperties>
</file>